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3.png" ContentType="image/png"/>
  <Override PartName="/word/media/rId57.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2025-04-08</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6"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29"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End w:id="29"/>
    <w:bookmarkStart w:id="31"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[8]</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0"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sepChr m:val=""/>
              <m:endChr m:val=")"/>
              <m:grow/>
            </m:dPr>
            <m:e>
              <m:r>
                <m:t>1</m:t>
              </m:r>
            </m:e>
          </m:d>
        </m:oMath>
      </m:oMathPara>
      <w:bookmarkEnd w:id="30"/>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[8]</w:t>
      </w:r>
      <w:r>
        <w:t xml:space="preserve"> </w:t>
      </w:r>
      <w:r>
        <w:t xml:space="preserve">for more details as to how these different terms are parametrised.</w:t>
      </w:r>
    </w:p>
    <w:bookmarkEnd w:id="31"/>
    <w:bookmarkStart w:id="33" w:name="body-size-ratio-model"/>
    <w:p>
      <w:pPr>
        <w:pStyle w:val="Heading3"/>
      </w:pPr>
      <w:r>
        <w:t xml:space="preserve">6.1.3 Body size ratio model</w:t>
      </w:r>
    </w:p>
    <w:p>
      <w:pPr>
        <w:pStyle w:val="FirstParagraph"/>
      </w:pPr>
      <w:r>
        <w:t xml:space="preserve">The body size ratio model</w:t>
      </w:r>
      <w:r>
        <w:t xml:space="preserve"> </w:t>
      </w:r>
      <w:r>
        <w:t xml:space="preserve">[9]</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2" w:name="eq-bodymass"/>
      <m:oMathPara>
        <m:oMathParaPr>
          <m:jc m:val="center"/>
        </m:oMathParaPr>
        <m:oMath>
          <m:r>
            <m:t>p</m:t>
          </m:r>
          <m:r>
            <m:rPr>
              <m:sty m:val="p"/>
            </m:rPr>
            <m:t>=</m:t>
          </m:r>
          <m:r>
            <m:t>e</m:t>
          </m:r>
          <m:r>
            <m:t>x</m:t>
          </m:r>
          <m:r>
            <m:t>p</m:t>
          </m:r>
          <m:d>
            <m:dPr>
              <m:begChr m:val="["/>
              <m:sepChr m:val=""/>
              <m:endChr m:val="]"/>
              <m:grow/>
            </m:dPr>
            <m:e>
              <m:r>
                <m:t>α</m:t>
              </m:r>
              <m:r>
                <m:rPr>
                  <m:sty m:val="p"/>
                </m:rPr>
                <m:t>+</m:t>
              </m:r>
              <m:r>
                <m:t>β</m:t>
              </m:r>
              <m:r>
                <m:t>l</m:t>
              </m:r>
              <m:r>
                <m:t>o</m:t>
              </m:r>
              <m:r>
                <m:t>g</m:t>
              </m:r>
              <m:d>
                <m:dPr>
                  <m:begChr m:val="("/>
                  <m:sepChr m:val=""/>
                  <m:end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sepChr m:val=""/>
                  <m:endChr m:val=")"/>
                  <m:grow/>
                </m:dPr>
                <m:e>
                  <m:f>
                    <m:fPr>
                      <m:type m:val="bar"/>
                    </m:fPr>
                    <m:num>
                      <m:sSub>
                        <m:e>
                          <m:r>
                            <m:t>M</m:t>
                          </m:r>
                        </m:e>
                        <m:sub>
                          <m:r>
                            <m:t>i</m:t>
                          </m:r>
                        </m:sub>
                      </m:sSub>
                    </m:num>
                    <m:den>
                      <m:sSub>
                        <m:e>
                          <m:r>
                            <m:t>M</m:t>
                          </m:r>
                        </m:e>
                        <m:sub>
                          <m:r>
                            <m:t>j</m:t>
                          </m:r>
                        </m:sub>
                      </m:sSub>
                    </m:den>
                  </m:f>
                </m:e>
              </m:d>
            </m:e>
          </m:d>
          <m:r>
            <m:t>  </m:t>
          </m:r>
          <m:d>
            <m:dPr>
              <m:begChr m:val="("/>
              <m:sepChr m:val=""/>
              <m:endChr m:val=")"/>
              <m:grow/>
            </m:dPr>
            <m:e>
              <m:r>
                <m:t>2</m:t>
              </m:r>
            </m:e>
          </m:d>
        </m:oMath>
      </m:oMathPara>
      <w:bookmarkEnd w:id="32"/>
    </w:p>
    <w:p>
      <w:pPr>
        <w:pStyle w:val="FirstParagraph"/>
      </w:pPr>
      <w:r>
        <w:t xml:space="preserve">The original latent-trait model developed by</w:t>
      </w:r>
      <w:r>
        <w:t xml:space="preserve"> </w:t>
      </w:r>
      <w:r>
        <w:t xml:space="preserve">[9]</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[10]</w:t>
      </w:r>
      <w:r>
        <w:t xml:space="preserve"> </w:t>
      </w:r>
      <w:r>
        <w:t xml:space="preserve">Based on</w:t>
      </w:r>
      <w:r>
        <w:t xml:space="preserve"> </w:t>
      </w:r>
      <w:r>
        <w:t xml:space="preserve">[9]</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[10]</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3"/>
    <w:bookmarkStart w:id="34" w:name="l-matrix"/>
    <w:p>
      <w:pPr>
        <w:pStyle w:val="Heading3"/>
      </w:pPr>
      <w:r>
        <w:t xml:space="preserve">6.1.4 L matrix</w:t>
      </w:r>
    </w:p>
    <w:p>
      <w:pPr>
        <w:pStyle w:val="FirstParagraph"/>
      </w:pPr>
      <w:r>
        <w:t xml:space="preserve">For now we can link to thATNr package</w:t>
      </w:r>
      <w:r>
        <w:t xml:space="preserve"> </w:t>
      </w:r>
      <w:r>
        <w:t xml:space="preserve">[11]</w:t>
      </w:r>
      <w:r>
        <w:t xml:space="preserve"> </w:t>
      </w:r>
      <w:r>
        <w:t xml:space="preserve">until I can find a more suitable manuscript that breaks down this construction method.</w:t>
      </w:r>
      <w:r>
        <w:t xml:space="preserve"> </w:t>
      </w:r>
      <w:r>
        <w:t xml:space="preserve">[12]</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sepChr m:val=""/>
                  <m:endChr m:val=")"/>
                  <m:grow/>
                </m:dPr>
                <m:e>
                  <m:r>
                    <m:t>L</m:t>
                  </m:r>
                  <m:r>
                    <m:rPr>
                      <m:sty m:val="p"/>
                    </m:rPr>
                    <m:t>×</m:t>
                  </m:r>
                  <m:r>
                    <m:rPr>
                      <m:sty m:val="p"/>
                    </m:rPr>
                    <m:t>exp</m:t>
                  </m:r>
                  <m:d>
                    <m:dPr>
                      <m:begChr m:val="("/>
                      <m:sepChr m:val=""/>
                      <m:end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4"/>
    <w:bookmarkStart w:id="35" w:name="niche-model"/>
    <w:p>
      <w:pPr>
        <w:pStyle w:val="Heading3"/>
      </w:pPr>
      <w:r>
        <w:t xml:space="preserve">6.1.5 Niche model</w:t>
      </w:r>
    </w:p>
    <w:p>
      <w:pPr>
        <w:pStyle w:val="FirstParagraph"/>
      </w:pPr>
      <w:r>
        <w:t xml:space="preserve">The niche model</w:t>
      </w:r>
      <w:r>
        <w:t xml:space="preserve"> </w:t>
      </w:r>
      <w:r>
        <w:t xml:space="preserve">[13]</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[14]</w:t>
      </w:r>
      <w:r>
        <w:t xml:space="preserve">.</w:t>
      </w:r>
    </w:p>
    <w:bookmarkEnd w:id="35"/>
    <w:bookmarkEnd w:id="36"/>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[15]</w:t>
      </w:r>
      <w:r>
        <w:t xml:space="preserve"> </w:t>
      </w:r>
      <w:r>
        <w:t xml:space="preserve">we do still lack a clear set of guidelines for assessing how well models recover network structure</w:t>
      </w:r>
      <w:r>
        <w:t xml:space="preserve"> </w:t>
      </w:r>
      <w:r>
        <w:t xml:space="preserve">[16]</w:t>
      </w:r>
      <w:r>
        <w:t xml:space="preserve"> </w:t>
      </w:r>
      <w:r>
        <w:t xml:space="preserve">and it is beneficial to use a small subset of metrics that can clearly be tied to broader aspects of network function or capturing a ecological process.</w:t>
      </w:r>
    </w:p>
    <w:bookmarkStart w:id="37" w:name="macro-network-properties"/>
    <w:p>
      <w:pPr>
        <w:pStyle w:val="Heading3"/>
      </w:pPr>
      <w:r>
        <w:t xml:space="preserve">6.2.1 Macro network properties</w:t>
      </w:r>
    </w:p>
    <w:p>
      <w:pPr>
        <w:pStyle w:val="FirstParagraph"/>
      </w:pPr>
      <w:r>
        <w:rPr>
          <w:b/>
          <w:bCs/>
        </w:rPr>
        <w:t xml:space="preserve">Connectance</w:t>
      </w:r>
      <w:r>
        <w:t xml:space="preserve"> </w:t>
      </w:r>
      <w:r>
        <w:t xml:space="preserve">[17]</w:t>
      </w:r>
      <w:r>
        <w:t xml:space="preserve"> </w:t>
      </w:r>
      <w:r>
        <w:t xml:space="preserve">has been shown to be the feature of networks that underpin a series of other properties and function</w:t>
      </w:r>
      <w:r>
        <w:t xml:space="preserve"> </w:t>
      </w:r>
      <w:r>
        <w:t xml:space="preserve">[18]</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[19]</w:t>
      </w:r>
      <w:r>
        <w:t xml:space="preserve">), we could also look at the rank/rank deficiency of networks which (theoretically) represents the number fo unique interaction strategies in the network</w:t>
      </w:r>
      <w:r>
        <w:t xml:space="preserve"> </w:t>
      </w:r>
      <w:r>
        <w:t xml:space="preserve">[19]</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[20,21]</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[22]</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[8,</w:t>
      </w:r>
      <w:r>
        <w:rPr>
          <w:i/>
          <w:iCs/>
        </w:rPr>
        <w:t xml:space="preserve">e.g.,</w:t>
      </w:r>
      <w:r>
        <w:t xml:space="preserve"> </w:t>
      </w:r>
      <w:r>
        <w:t xml:space="preserve">14]</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[23]</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Start w:id="40" w:name="interactions"/>
    <w:p>
      <w:pPr>
        <w:pStyle w:val="Heading3"/>
      </w:pPr>
      <w:r>
        <w:t xml:space="preserve">6.2.4 Interactions</w:t>
      </w:r>
    </w:p>
    <w:p>
      <w:pPr>
        <w:pStyle w:val="FirstParagraph"/>
      </w:pPr>
      <w:r>
        <w:rPr>
          <w:b/>
          <w:bCs/>
        </w:rPr>
        <w:t xml:space="preserve">Interaction turnover</w:t>
      </w:r>
      <w:r>
        <w:t xml:space="preserve"> </w:t>
      </w:r>
      <w:r>
        <w:t xml:space="preserve">[23]</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0"/>
    <w:bookmarkStart w:id="41" w:name="robustness"/>
    <w:p>
      <w:pPr>
        <w:pStyle w:val="Heading3"/>
      </w:pPr>
      <w:r>
        <w:t xml:space="preserve">6.2.5 Robustness</w:t>
      </w:r>
    </w:p>
    <w:p>
      <w:pPr>
        <w:pStyle w:val="FirstParagraph"/>
      </w:pPr>
      <m:oMath>
        <m:sSub>
          <m:e>
            <m:r>
              <m:t>R</m:t>
            </m:r>
          </m:e>
          <m:sub>
            <m:r>
              <m:t>50</m:t>
            </m:r>
          </m:sub>
        </m:sSub>
      </m:oMath>
      <w:r>
        <w:t xml:space="preserve"> </w:t>
      </w:r>
      <w:r>
        <w:t xml:space="preserve">see</w:t>
      </w:r>
      <w:r>
        <w:t xml:space="preserve"> </w:t>
      </w:r>
      <w:r>
        <w:t xml:space="preserve">[24]</w:t>
      </w:r>
    </w:p>
    <w:bookmarkEnd w:id="41"/>
    <w:bookmarkEnd w:id="42"/>
    <w:bookmarkStart w:id="45" w:name="dataset"/>
    <w:p>
      <w:pPr>
        <w:pStyle w:val="Heading2"/>
      </w:pPr>
      <w:r>
        <w:t xml:space="preserve">6.3 Dataset</w:t>
      </w:r>
    </w:p>
    <w:bookmarkStart w:id="43" w:name="fossil-record-data"/>
    <w:p>
      <w:pPr>
        <w:pStyle w:val="Heading4"/>
      </w:pPr>
      <w:r>
        <w:t xml:space="preserve">6.3.0.1 Fossil record data</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1 for a more comprehensive overview]</w:t>
      </w:r>
      <w:r>
        <w:t xml:space="preserve">. The data set consists of a subset of four broad time periods, or assemblages, which are treated as communities of interacting organisms; pre-extinction, post-extinction, early recovery, and late recovery.</w:t>
      </w:r>
    </w:p>
    <w:bookmarkEnd w:id="43"/>
    <w:bookmarkStart w:id="44" w:name="defining-modes-of-life-traits"/>
    <w:p>
      <w:pPr>
        <w:pStyle w:val="Heading4"/>
      </w:pPr>
      <w:r>
        <w:t xml:space="preserve">6.3.0.2 Defining modes of life (traits)</w:t>
      </w:r>
    </w:p>
    <w:p>
      <w:pPr>
        <w:pStyle w:val="FirstParagraph"/>
      </w:pPr>
      <w:r>
        <w:t xml:space="preserve">We used the modes of life (traits) as identified in</w:t>
      </w:r>
      <w:r>
        <w:t xml:space="preserve"> </w:t>
      </w:r>
      <w:r>
        <w:t xml:space="preserve">[1]</w:t>
      </w:r>
      <w:r>
        <w:t xml:space="preserve">, who defined the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[25]</w:t>
      </w:r>
      <w:r>
        <w:t xml:space="preserve">.</w:t>
      </w:r>
    </w:p>
    <w:bookmarkEnd w:id="44"/>
    <w:bookmarkEnd w:id="45"/>
    <w:bookmarkEnd w:id="46"/>
    <w:bookmarkStart w:id="61" w:name="results"/>
    <w:p>
      <w:pPr>
        <w:pStyle w:val="Heading1"/>
      </w:pPr>
      <w:r>
        <w:t xml:space="preserve">7. Results</w:t>
      </w:r>
    </w:p>
    <w:bookmarkStart w:id="51"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50" w:name="fig-summary"/>
          <w:p>
            <w:pPr>
              <w:pStyle w:val="Compact"/>
              <w:jc w:val="center"/>
            </w:pPr>
            <w:r>
              <w:drawing>
                <wp:inline>
                  <wp:extent cx="5334000" cy="8297333"/>
                  <wp:effectExtent b="0" l="0" r="0" t="0"/>
                  <wp:docPr descr="" title="" id="48" name="Picture"/>
                  <a:graphic>
                    <a:graphicData uri="http://schemas.openxmlformats.org/drawingml/2006/picture">
                      <pic:pic>
                        <pic:nvPicPr>
                          <pic:cNvPr descr="figures/summary.png" id="49" name="Picture"/>
                          <pic:cNvPicPr>
                            <a:picLocks noChangeArrowheads="1" noChangeAspect="1"/>
                          </pic:cNvPicPr>
                        </pic:nvPicPr>
                        <pic:blipFill>
                          <a:blip r:embed="rId47"/>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50"/>
        </w:tc>
      </w:tr>
    </w:tbl>
    <w:bookmarkEnd w:id="51"/>
    <w:bookmarkStart w:id="52" w:name="comparing-inference"/>
    <w:p>
      <w:pPr>
        <w:pStyle w:val="Heading2"/>
      </w:pPr>
      <w:r>
        <w:t xml:space="preserve">7.2 Comparing inference</w:t>
      </w:r>
    </w:p>
    <w:bookmarkEnd w:id="52"/>
    <w:bookmarkStart w:id="60"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6" w:name="fig-extinction"/>
          <w:p>
            <w:pPr>
              <w:pStyle w:val="Compact"/>
              <w:jc w:val="center"/>
            </w:pPr>
            <w:r>
              <w:drawing>
                <wp:inline>
                  <wp:extent cx="5334000" cy="8297333"/>
                  <wp:effectExtent b="0" l="0" r="0" t="0"/>
                  <wp:docPr descr="" title="" id="54" name="Picture"/>
                  <a:graphic>
                    <a:graphicData uri="http://schemas.openxmlformats.org/drawingml/2006/picture">
                      <pic:pic>
                        <pic:nvPicPr>
                          <pic:cNvPr descr="figures/extinction.png" id="55" name="Picture"/>
                          <pic:cNvPicPr>
                            <a:picLocks noChangeArrowheads="1" noChangeAspect="1"/>
                          </pic:cNvPicPr>
                        </pic:nvPicPr>
                        <pic:blipFill>
                          <a:blip r:embed="rId53"/>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6"/>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8" name="Picture"/>
            <a:graphic>
              <a:graphicData uri="http://schemas.openxmlformats.org/drawingml/2006/picture">
                <pic:pic>
                  <pic:nvPicPr>
                    <pic:cNvPr descr="figures/extinction_all_results.png" id="59" name="Picture"/>
                    <pic:cNvPicPr>
                      <a:picLocks noChangeArrowheads="1" noChangeAspect="1"/>
                    </pic:cNvPicPr>
                  </pic:nvPicPr>
                  <pic:blipFill>
                    <a:blip r:embed="rId57"/>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60"/>
    <w:bookmarkEnd w:id="61"/>
    <w:bookmarkStart w:id="112" w:name="references"/>
    <w:p>
      <w:pPr>
        <w:pStyle w:val="Heading1"/>
      </w:pPr>
      <w:r>
        <w:t xml:space="preserve">References</w:t>
      </w:r>
    </w:p>
    <w:bookmarkStart w:id="111" w:name="refs"/>
    <w:bookmarkStart w:id="63"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2">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3"/>
    <w:bookmarkStart w:id="65"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4">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5"/>
    <w:bookmarkStart w:id="67"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6">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7"/>
    <w:bookmarkStart w:id="69"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8">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9"/>
    <w:bookmarkStart w:id="71"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0">
        <w:r>
          <w:rPr>
            <w:rStyle w:val="Hyperlink"/>
          </w:rPr>
          <w:t xml:space="preserve">A framework for reconstructing ancient food webs using functional trait data</w:t>
        </w:r>
      </w:hyperlink>
      <w:r>
        <w:t xml:space="preserve">bioRxiv, 2024.01.30.578036</w:t>
      </w:r>
    </w:p>
    <w:bookmarkEnd w:id="71"/>
    <w:bookmarkStart w:id="73" w:name="ref-roopnarine2006"/>
    <w:p>
      <w:pPr>
        <w:pStyle w:val="Bibliography"/>
      </w:pPr>
      <w:r>
        <w:t xml:space="preserve">6.</w:t>
      </w:r>
      <w:r>
        <w:t xml:space="preserve"> </w:t>
      </w:r>
      <w:r>
        <w:t xml:space="preserve">	</w:t>
      </w:r>
      <w:r>
        <w:t xml:space="preserve">Roopnarine, P.D. (2006)</w:t>
      </w:r>
      <w:r>
        <w:t xml:space="preserve"> </w:t>
      </w:r>
      <w:hyperlink r:id="rId72">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3"/>
    <w:bookmarkStart w:id="74"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4"/>
    <w:bookmarkStart w:id="76" w:name="ref-petchey2008"/>
    <w:p>
      <w:pPr>
        <w:pStyle w:val="Bibliography"/>
      </w:pPr>
      <w:r>
        <w:t xml:space="preserve">8.</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5">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6"/>
    <w:bookmarkStart w:id="78" w:name="ref-rohr2010"/>
    <w:p>
      <w:pPr>
        <w:pStyle w:val="Bibliography"/>
      </w:pPr>
      <w:r>
        <w:t xml:space="preserve">9.</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7">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8"/>
    <w:bookmarkStart w:id="80" w:name="ref-yeakel2014"/>
    <w:p>
      <w:pPr>
        <w:pStyle w:val="Bibliography"/>
      </w:pPr>
      <w:r>
        <w:t xml:space="preserve">10.</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9">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80"/>
    <w:bookmarkStart w:id="82" w:name="ref-gauzens2023"/>
    <w:p>
      <w:pPr>
        <w:pStyle w:val="Bibliography"/>
      </w:pPr>
      <w:r>
        <w:t xml:space="preserve">11.</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1">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2"/>
    <w:bookmarkStart w:id="84" w:name="ref-schneider2016"/>
    <w:p>
      <w:pPr>
        <w:pStyle w:val="Bibliography"/>
      </w:pPr>
      <w:r>
        <w:t xml:space="preserve">12.</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3">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4"/>
    <w:bookmarkStart w:id="86" w:name="ref-williams2000"/>
    <w:p>
      <w:pPr>
        <w:pStyle w:val="Bibliography"/>
      </w:pPr>
      <w:r>
        <w:t xml:space="preserve">13.</w:t>
      </w:r>
      <w:r>
        <w:t xml:space="preserve"> </w:t>
      </w:r>
      <w:r>
        <w:t xml:space="preserve">	</w:t>
      </w:r>
      <w:r>
        <w:t xml:space="preserve">Williams, R.J. and Martinez, N.D. (2000)</w:t>
      </w:r>
      <w:r>
        <w:t xml:space="preserve"> </w:t>
      </w:r>
      <w:hyperlink r:id="rId85">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6"/>
    <w:bookmarkStart w:id="88" w:name="ref-williams2008"/>
    <w:p>
      <w:pPr>
        <w:pStyle w:val="Bibliography"/>
      </w:pPr>
      <w:r>
        <w:t xml:space="preserve">14.</w:t>
      </w:r>
      <w:r>
        <w:t xml:space="preserve"> </w:t>
      </w:r>
      <w:r>
        <w:t xml:space="preserve">	</w:t>
      </w:r>
      <w:r>
        <w:t xml:space="preserve">Williams, R.J. and Martinez, N.D. (2008)</w:t>
      </w:r>
      <w:r>
        <w:t xml:space="preserve"> </w:t>
      </w:r>
      <w:hyperlink r:id="rId87">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8"/>
    <w:bookmarkStart w:id="90" w:name="ref-delmas2018"/>
    <w:p>
      <w:pPr>
        <w:pStyle w:val="Bibliography"/>
      </w:pPr>
      <w:r>
        <w:t xml:space="preserve">15.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9">
        <w:r>
          <w:rPr>
            <w:rStyle w:val="Hyperlink"/>
          </w:rPr>
          <w:t xml:space="preserve">10.1111/brv.12433</w:t>
        </w:r>
      </w:hyperlink>
    </w:p>
    <w:bookmarkEnd w:id="90"/>
    <w:bookmarkStart w:id="92" w:name="ref-allesina2008"/>
    <w:p>
      <w:pPr>
        <w:pStyle w:val="Bibliography"/>
      </w:pPr>
      <w:r>
        <w:t xml:space="preserve">16.</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1">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2"/>
    <w:bookmarkStart w:id="94" w:name="ref-martinez1992"/>
    <w:p>
      <w:pPr>
        <w:pStyle w:val="Bibliography"/>
      </w:pPr>
      <w:r>
        <w:t xml:space="preserve">17.</w:t>
      </w:r>
      <w:r>
        <w:t xml:space="preserve"> </w:t>
      </w:r>
      <w:r>
        <w:t xml:space="preserve">	</w:t>
      </w:r>
      <w:r>
        <w:t xml:space="preserve">Martinez, N.D. (1992)</w:t>
      </w:r>
      <w:r>
        <w:t xml:space="preserve"> </w:t>
      </w:r>
      <w:hyperlink r:id="rId93">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4"/>
    <w:bookmarkStart w:id="96" w:name="ref-strydom2021b"/>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6"/>
    <w:bookmarkStart w:id="98" w:name="ref-strydom2021"/>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7">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8"/>
    <w:bookmarkStart w:id="100" w:name="ref-milo2002"/>
    <w:p>
      <w:pPr>
        <w:pStyle w:val="Bibliography"/>
      </w:pPr>
      <w:r>
        <w:t xml:space="preserve">20.</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9">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0"/>
    <w:bookmarkStart w:id="102" w:name="ref-stouffer2007"/>
    <w:p>
      <w:pPr>
        <w:pStyle w:val="Bibliography"/>
      </w:pPr>
      <w:r>
        <w:t xml:space="preserve">21.</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1">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2"/>
    <w:bookmarkStart w:id="104" w:name="ref-schoener1989"/>
    <w:p>
      <w:pPr>
        <w:pStyle w:val="Bibliography"/>
      </w:pPr>
      <w:r>
        <w:t xml:space="preserve">22.</w:t>
      </w:r>
      <w:r>
        <w:t xml:space="preserve"> </w:t>
      </w:r>
      <w:r>
        <w:t xml:space="preserve">	</w:t>
      </w:r>
      <w:r>
        <w:t xml:space="preserve">Schoener, T.W. (1989)</w:t>
      </w:r>
      <w:r>
        <w:t xml:space="preserve"> </w:t>
      </w:r>
      <w:hyperlink r:id="rId103">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4"/>
    <w:bookmarkStart w:id="106" w:name="ref-poisot2012"/>
    <w:p>
      <w:pPr>
        <w:pStyle w:val="Bibliography"/>
      </w:pPr>
      <w:r>
        <w:t xml:space="preserve">23.</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5">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6"/>
    <w:bookmarkStart w:id="108" w:name="ref-jonsson2015"/>
    <w:p>
      <w:pPr>
        <w:pStyle w:val="Bibliography"/>
      </w:pPr>
      <w:r>
        <w:t xml:space="preserve">24.</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07">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08"/>
    <w:bookmarkStart w:id="110" w:name="ref-bambach2007"/>
    <w:p>
      <w:pPr>
        <w:pStyle w:val="Bibliography"/>
      </w:pPr>
      <w:r>
        <w:t xml:space="preserve">25.</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9">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10"/>
    <w:bookmarkEnd w:id="111"/>
    <w:bookmarkEnd w:id="11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47" Target="media/rId47.png" /><Relationship Type="http://schemas.openxmlformats.org/officeDocument/2006/relationships/hyperlink" Id="rId93" Target="http://www.jstor.org/stable/2462337" TargetMode="External" /><Relationship Type="http://schemas.openxmlformats.org/officeDocument/2006/relationships/hyperlink" Id="rId85" Target="https://doi.org/10.1038/35004572" TargetMode="External" /><Relationship Type="http://schemas.openxmlformats.org/officeDocument/2006/relationships/hyperlink" Id="rId83" Target="https://doi.org/10.1038/ncomms12718" TargetMode="External" /><Relationship Type="http://schemas.openxmlformats.org/officeDocument/2006/relationships/hyperlink" Id="rId62" Target="https://doi.org/10.1038/s41467-024-53000-2" TargetMode="External" /><Relationship Type="http://schemas.openxmlformats.org/officeDocument/2006/relationships/hyperlink" Id="rId75" Target="https://doi.org/10.1073/pnas.0710672105" TargetMode="External" /><Relationship Type="http://schemas.openxmlformats.org/officeDocument/2006/relationships/hyperlink" Id="rId79" Target="https://doi.org/10.1073/pnas.1408471111" TargetMode="External" /><Relationship Type="http://schemas.openxmlformats.org/officeDocument/2006/relationships/hyperlink" Id="rId77" Target="https://doi.org/10.1086/653667" TargetMode="External" /><Relationship Type="http://schemas.openxmlformats.org/officeDocument/2006/relationships/hyperlink" Id="rId101" Target="https://doi.org/10.1098/rspb.2007.0571" TargetMode="External" /><Relationship Type="http://schemas.openxmlformats.org/officeDocument/2006/relationships/hyperlink" Id="rId95" Target="https://doi.org/10.1098/rstb.2021.0063" TargetMode="External" /><Relationship Type="http://schemas.openxmlformats.org/officeDocument/2006/relationships/hyperlink" Id="rId70" Target="https://doi.org/10.1101/2024.01.30.578036" TargetMode="External" /><Relationship Type="http://schemas.openxmlformats.org/officeDocument/2006/relationships/hyperlink" Id="rId81" Target="https://doi.org/10.1111/2041-210X.14212" TargetMode="External" /><Relationship Type="http://schemas.openxmlformats.org/officeDocument/2006/relationships/hyperlink" Id="rId64" Target="https://doi.org/10.1111/2041-210X.14228" TargetMode="External" /><Relationship Type="http://schemas.openxmlformats.org/officeDocument/2006/relationships/hyperlink" Id="rId89" Target="https://doi.org/10.1111/brv.12433" TargetMode="External" /><Relationship Type="http://schemas.openxmlformats.org/officeDocument/2006/relationships/hyperlink" Id="rId66" Target="https://doi.org/10.1111/ele.13966" TargetMode="External" /><Relationship Type="http://schemas.openxmlformats.org/officeDocument/2006/relationships/hyperlink" Id="rId87" Target="https://doi.org/10.1111/j.1365-2656.2008.01362.x" TargetMode="External" /><Relationship Type="http://schemas.openxmlformats.org/officeDocument/2006/relationships/hyperlink" Id="rId109" Target="https://doi.org/10.1111/j.1475-4983.2006.00611.x" TargetMode="External" /><Relationship Type="http://schemas.openxmlformats.org/officeDocument/2006/relationships/hyperlink" Id="rId105" Target="https://doi.org/10.1111/j.2041-210x.2011.00174.x" TargetMode="External" /><Relationship Type="http://schemas.openxmlformats.org/officeDocument/2006/relationships/hyperlink" Id="rId107" Target="https://doi.org/10.1111/oik.01588" TargetMode="External" /><Relationship Type="http://schemas.openxmlformats.org/officeDocument/2006/relationships/hyperlink" Id="rId91" Target="https://doi.org/10.1126/science.1156269" TargetMode="External" /><Relationship Type="http://schemas.openxmlformats.org/officeDocument/2006/relationships/hyperlink" Id="rId99" Target="https://doi.org/10.1126/science.298.5594.824" TargetMode="External" /><Relationship Type="http://schemas.openxmlformats.org/officeDocument/2006/relationships/hyperlink" Id="rId68" Target="https://doi.org/10.1126/science.abn4012" TargetMode="External" /><Relationship Type="http://schemas.openxmlformats.org/officeDocument/2006/relationships/hyperlink" Id="rId103" Target="https://doi.org/10.2307/1938088" TargetMode="External" /><Relationship Type="http://schemas.openxmlformats.org/officeDocument/2006/relationships/hyperlink" Id="rId97" Target="https://doi.org/10.3389/fevo.2021.623141" TargetMode="External" /><Relationship Type="http://schemas.openxmlformats.org/officeDocument/2006/relationships/hyperlink" Id="rId72"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3" Target="http://www.jstor.org/stable/2462337" TargetMode="External" /><Relationship Type="http://schemas.openxmlformats.org/officeDocument/2006/relationships/hyperlink" Id="rId85" Target="https://doi.org/10.1038/35004572" TargetMode="External" /><Relationship Type="http://schemas.openxmlformats.org/officeDocument/2006/relationships/hyperlink" Id="rId83" Target="https://doi.org/10.1038/ncomms12718" TargetMode="External" /><Relationship Type="http://schemas.openxmlformats.org/officeDocument/2006/relationships/hyperlink" Id="rId62" Target="https://doi.org/10.1038/s41467-024-53000-2" TargetMode="External" /><Relationship Type="http://schemas.openxmlformats.org/officeDocument/2006/relationships/hyperlink" Id="rId75" Target="https://doi.org/10.1073/pnas.0710672105" TargetMode="External" /><Relationship Type="http://schemas.openxmlformats.org/officeDocument/2006/relationships/hyperlink" Id="rId79" Target="https://doi.org/10.1073/pnas.1408471111" TargetMode="External" /><Relationship Type="http://schemas.openxmlformats.org/officeDocument/2006/relationships/hyperlink" Id="rId77" Target="https://doi.org/10.1086/653667" TargetMode="External" /><Relationship Type="http://schemas.openxmlformats.org/officeDocument/2006/relationships/hyperlink" Id="rId101" Target="https://doi.org/10.1098/rspb.2007.0571" TargetMode="External" /><Relationship Type="http://schemas.openxmlformats.org/officeDocument/2006/relationships/hyperlink" Id="rId95" Target="https://doi.org/10.1098/rstb.2021.0063" TargetMode="External" /><Relationship Type="http://schemas.openxmlformats.org/officeDocument/2006/relationships/hyperlink" Id="rId70" Target="https://doi.org/10.1101/2024.01.30.578036" TargetMode="External" /><Relationship Type="http://schemas.openxmlformats.org/officeDocument/2006/relationships/hyperlink" Id="rId81" Target="https://doi.org/10.1111/2041-210X.14212" TargetMode="External" /><Relationship Type="http://schemas.openxmlformats.org/officeDocument/2006/relationships/hyperlink" Id="rId64" Target="https://doi.org/10.1111/2041-210X.14228" TargetMode="External" /><Relationship Type="http://schemas.openxmlformats.org/officeDocument/2006/relationships/hyperlink" Id="rId89" Target="https://doi.org/10.1111/brv.12433" TargetMode="External" /><Relationship Type="http://schemas.openxmlformats.org/officeDocument/2006/relationships/hyperlink" Id="rId66" Target="https://doi.org/10.1111/ele.13966" TargetMode="External" /><Relationship Type="http://schemas.openxmlformats.org/officeDocument/2006/relationships/hyperlink" Id="rId87" Target="https://doi.org/10.1111/j.1365-2656.2008.01362.x" TargetMode="External" /><Relationship Type="http://schemas.openxmlformats.org/officeDocument/2006/relationships/hyperlink" Id="rId109" Target="https://doi.org/10.1111/j.1475-4983.2006.00611.x" TargetMode="External" /><Relationship Type="http://schemas.openxmlformats.org/officeDocument/2006/relationships/hyperlink" Id="rId105" Target="https://doi.org/10.1111/j.2041-210x.2011.00174.x" TargetMode="External" /><Relationship Type="http://schemas.openxmlformats.org/officeDocument/2006/relationships/hyperlink" Id="rId107" Target="https://doi.org/10.1111/oik.01588" TargetMode="External" /><Relationship Type="http://schemas.openxmlformats.org/officeDocument/2006/relationships/hyperlink" Id="rId91" Target="https://doi.org/10.1126/science.1156269" TargetMode="External" /><Relationship Type="http://schemas.openxmlformats.org/officeDocument/2006/relationships/hyperlink" Id="rId99" Target="https://doi.org/10.1126/science.298.5594.824" TargetMode="External" /><Relationship Type="http://schemas.openxmlformats.org/officeDocument/2006/relationships/hyperlink" Id="rId68" Target="https://doi.org/10.1126/science.abn4012" TargetMode="External" /><Relationship Type="http://schemas.openxmlformats.org/officeDocument/2006/relationships/hyperlink" Id="rId103" Target="https://doi.org/10.2307/1938088" TargetMode="External" /><Relationship Type="http://schemas.openxmlformats.org/officeDocument/2006/relationships/hyperlink" Id="rId97" Target="https://doi.org/10.3389/fevo.2021.623141" TargetMode="External" /><Relationship Type="http://schemas.openxmlformats.org/officeDocument/2006/relationships/hyperlink" Id="rId72"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2025-04-08T10:39:44Z</dcterms:created>
  <dcterms:modified xsi:type="dcterms:W3CDTF">2025-04-08T10:39:44Z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2025-04-08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